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100"/>
        <w:gridCol w:w="700"/>
        <w:gridCol w:w="100"/>
        <w:gridCol w:w="400"/>
        <w:gridCol w:w="420"/>
        <w:gridCol w:w="1580"/>
        <w:gridCol w:w="2440"/>
        <w:gridCol w:w="460"/>
        <w:gridCol w:w="400"/>
        <w:gridCol w:w="1500"/>
        <w:gridCol w:w="20"/>
        <w:gridCol w:w="460"/>
        <w:gridCol w:w="1320"/>
        <w:gridCol w:w="360"/>
        <w:gridCol w:w="20"/>
        <w:gridCol w:w="60"/>
        <w:gridCol w:w="40"/>
        <w:gridCol w:w="1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994112053" name="Picture">
</wp:docPr>
                  <a:graphic>
                    <a:graphicData uri="http://schemas.openxmlformats.org/drawingml/2006/picture">
                      <pic:pic>
                        <pic:nvPicPr>
                          <pic:cNvPr id="994112053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Д-RU.РА01.В.36167/26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На стандарты и иные документы, примененные при декларировании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Обозначение и наименование стандарта, нормативного документа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 w:right="10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Раздел (пункт, подпункт) стандарта, нормативного документа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 w:right="10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Дополнительные сведения о стандарте, нормативном документе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0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