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100"/>
        <w:gridCol w:w="700"/>
        <w:gridCol w:w="100"/>
        <w:gridCol w:w="400"/>
        <w:gridCol w:w="420"/>
        <w:gridCol w:w="1580"/>
        <w:gridCol w:w="2440"/>
        <w:gridCol w:w="460"/>
        <w:gridCol w:w="400"/>
        <w:gridCol w:w="1500"/>
        <w:gridCol w:w="20"/>
        <w:gridCol w:w="460"/>
        <w:gridCol w:w="1320"/>
        <w:gridCol w:w="360"/>
        <w:gridCol w:w="20"/>
        <w:gridCol w:w="60"/>
        <w:gridCol w:w="40"/>
        <w:gridCol w:w="1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2076711139" name="Picture">
</wp:docPr>
                  <a:graphic>
                    <a:graphicData uri="http://schemas.openxmlformats.org/drawingml/2006/picture">
                      <pic:pic>
                        <pic:nvPicPr>
                          <pic:cNvPr id="2076711139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Д-RU.РА08.В.95104/25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стандарты и иные документы, примененные при декларировании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Обозначение и наименование стандарта, нормативного документа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Раздел (пункт, подпункт) стандарта, нормативного документа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 w:right="10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Дополнительные сведения о стандарте, нормативном документе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0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